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8E78" w14:textId="77777777" w:rsidR="00C134E9" w:rsidRDefault="00F16DF3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2026</w:t>
      </w:r>
      <w:r>
        <w:rPr>
          <w:rFonts w:ascii="黑体" w:eastAsia="黑体" w:hAnsi="黑体" w:cs="黑体" w:hint="eastAsia"/>
          <w:b/>
          <w:sz w:val="32"/>
          <w:szCs w:val="32"/>
        </w:rPr>
        <w:t>年专升本《国际贸易》考试大纲</w:t>
      </w:r>
    </w:p>
    <w:p w14:paraId="1B4742D2" w14:textId="77777777" w:rsidR="00C134E9" w:rsidRDefault="00F16DF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一、总纲</w:t>
      </w:r>
    </w:p>
    <w:p w14:paraId="19415ACA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 w14:paraId="430D342A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 w14:paraId="3D20B83C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大纲的制定旨在贯彻国家和安徽省的相关要求，依据有关政策文件，根据“宽口径、厚基础、强能力、高素质”的原则，实现培养国际贸易高级应用性人才的目标。考查内容以国际贸易产生的基础和利益为主线，围绕国际贸易发展与交易的基础、国际贸易政策和措施的演变与内容、地区与国际贸易的管理体制、国际贸易领域的运行等内容展开，使学生初步掌握和学会运用国际贸易中的基本理论、基本知识和基本研究方法，</w:t>
      </w:r>
      <w:r>
        <w:rPr>
          <w:rFonts w:ascii="仿宋" w:eastAsia="仿宋" w:hAnsi="仿宋" w:hint="eastAsia"/>
          <w:sz w:val="28"/>
          <w:szCs w:val="28"/>
        </w:rPr>
        <w:t>为进一步深造奠定良好的基础。考试以国际贸易相关理论知识为基础，强调课程的综合性和实践应用性，通过对各章节知识要点的扎实掌握和融会贯通实现创新性。</w:t>
      </w:r>
    </w:p>
    <w:p w14:paraId="5B1ED4F2" w14:textId="77777777" w:rsidR="00C134E9" w:rsidRDefault="00F16DF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二、学科考查内容纲要</w:t>
      </w:r>
    </w:p>
    <w:p w14:paraId="5BF8364B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考核目标与要求</w:t>
      </w:r>
    </w:p>
    <w:p w14:paraId="69064776" w14:textId="67303D19" w:rsidR="00C134E9" w:rsidRDefault="00F16DF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本课程考试参考书目：《国际贸易学》，徐松主编，机械工业出版社，</w:t>
      </w:r>
      <w:r>
        <w:rPr>
          <w:rFonts w:ascii="仿宋" w:eastAsia="仿宋" w:hAnsi="仿宋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年。</w:t>
      </w:r>
      <w:bookmarkStart w:id="0" w:name="_GoBack"/>
      <w:bookmarkEnd w:id="0"/>
    </w:p>
    <w:p w14:paraId="28F626C7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《国际贸易》</w:t>
      </w:r>
      <w:r>
        <w:rPr>
          <w:rFonts w:ascii="仿宋" w:eastAsia="仿宋" w:hAnsi="仿宋"/>
          <w:sz w:val="28"/>
          <w:szCs w:val="28"/>
        </w:rPr>
        <w:t>课程是</w:t>
      </w:r>
      <w:r>
        <w:rPr>
          <w:rFonts w:ascii="仿宋" w:eastAsia="仿宋" w:hAnsi="仿宋" w:hint="eastAsia"/>
          <w:sz w:val="28"/>
          <w:szCs w:val="28"/>
        </w:rPr>
        <w:t>国际经济与贸易</w:t>
      </w:r>
      <w:r>
        <w:rPr>
          <w:rFonts w:ascii="仿宋" w:eastAsia="仿宋" w:hAnsi="仿宋"/>
          <w:sz w:val="28"/>
          <w:szCs w:val="28"/>
        </w:rPr>
        <w:t>专业的核心基础课程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在</w:t>
      </w:r>
      <w:r>
        <w:rPr>
          <w:rFonts w:ascii="仿宋" w:eastAsia="仿宋" w:hAnsi="仿宋" w:hint="eastAsia"/>
          <w:sz w:val="28"/>
          <w:szCs w:val="28"/>
        </w:rPr>
        <w:t>国际经济与贸易专业</w:t>
      </w:r>
      <w:r>
        <w:rPr>
          <w:rFonts w:ascii="仿宋" w:eastAsia="仿宋" w:hAnsi="仿宋"/>
          <w:sz w:val="28"/>
          <w:szCs w:val="28"/>
        </w:rPr>
        <w:t>课程体系中有着重要的地位和作用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通过对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相关概念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基本理论</w:t>
      </w:r>
      <w:r>
        <w:rPr>
          <w:rFonts w:ascii="仿宋" w:eastAsia="仿宋" w:hAnsi="仿宋" w:hint="eastAsia"/>
          <w:sz w:val="28"/>
          <w:szCs w:val="28"/>
        </w:rPr>
        <w:t>、贸易政策</w:t>
      </w:r>
      <w:r>
        <w:rPr>
          <w:rFonts w:ascii="仿宋" w:eastAsia="仿宋" w:hAnsi="仿宋"/>
          <w:sz w:val="28"/>
          <w:szCs w:val="28"/>
        </w:rPr>
        <w:t>以及</w:t>
      </w:r>
      <w:r>
        <w:rPr>
          <w:rFonts w:ascii="仿宋" w:eastAsia="仿宋" w:hAnsi="仿宋" w:hint="eastAsia"/>
          <w:sz w:val="28"/>
          <w:szCs w:val="28"/>
        </w:rPr>
        <w:t>贸易组织</w:t>
      </w:r>
      <w:r>
        <w:rPr>
          <w:rFonts w:ascii="仿宋" w:eastAsia="仿宋" w:hAnsi="仿宋"/>
          <w:sz w:val="28"/>
          <w:szCs w:val="28"/>
        </w:rPr>
        <w:t>的教学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培养学生对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相关领域的学习与探究兴趣</w:t>
      </w:r>
      <w:r>
        <w:rPr>
          <w:rFonts w:ascii="仿宋" w:eastAsia="仿宋" w:hAnsi="仿宋" w:hint="eastAsia"/>
          <w:sz w:val="28"/>
          <w:szCs w:val="28"/>
        </w:rPr>
        <w:t>，解决国际贸易领域基本问题与现象的能力，</w:t>
      </w:r>
      <w:r>
        <w:rPr>
          <w:rFonts w:ascii="仿宋" w:eastAsia="仿宋" w:hAnsi="仿宋" w:hint="eastAsia"/>
          <w:sz w:val="28"/>
          <w:szCs w:val="28"/>
        </w:rPr>
        <w:t>使得学生具备更为扎实和全面的学科素养。具体包括：</w:t>
      </w:r>
    </w:p>
    <w:p w14:paraId="390D3847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能力目标</w:t>
      </w:r>
    </w:p>
    <w:p w14:paraId="7E1B9CFA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能够简述中国</w:t>
      </w:r>
      <w:r>
        <w:rPr>
          <w:rFonts w:ascii="仿宋" w:eastAsia="仿宋" w:hAnsi="仿宋" w:hint="eastAsia"/>
          <w:sz w:val="28"/>
          <w:szCs w:val="28"/>
        </w:rPr>
        <w:t>对外贸易</w:t>
      </w:r>
      <w:r>
        <w:rPr>
          <w:rFonts w:ascii="仿宋" w:eastAsia="仿宋" w:hAnsi="仿宋"/>
          <w:sz w:val="28"/>
          <w:szCs w:val="28"/>
        </w:rPr>
        <w:t>的发展历程以及各个阶段的</w:t>
      </w:r>
      <w:r>
        <w:rPr>
          <w:rFonts w:ascii="仿宋" w:eastAsia="仿宋" w:hAnsi="仿宋" w:hint="eastAsia"/>
          <w:sz w:val="28"/>
          <w:szCs w:val="28"/>
        </w:rPr>
        <w:t>对外贸易政策</w:t>
      </w:r>
      <w:r>
        <w:rPr>
          <w:rFonts w:ascii="仿宋" w:eastAsia="仿宋" w:hAnsi="仿宋"/>
          <w:sz w:val="28"/>
          <w:szCs w:val="28"/>
        </w:rPr>
        <w:t>及其重要意义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BF52D81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能够运用</w:t>
      </w:r>
      <w:r>
        <w:rPr>
          <w:rFonts w:ascii="仿宋" w:eastAsia="仿宋" w:hAnsi="仿宋" w:hint="eastAsia"/>
          <w:sz w:val="28"/>
          <w:szCs w:val="28"/>
        </w:rPr>
        <w:t>国际贸易</w:t>
      </w:r>
      <w:r>
        <w:rPr>
          <w:rFonts w:ascii="仿宋" w:eastAsia="仿宋" w:hAnsi="仿宋"/>
          <w:sz w:val="28"/>
          <w:szCs w:val="28"/>
        </w:rPr>
        <w:t>的相关知识分析当前的</w:t>
      </w:r>
      <w:r>
        <w:rPr>
          <w:rFonts w:ascii="仿宋" w:eastAsia="仿宋" w:hAnsi="仿宋" w:hint="eastAsia"/>
          <w:sz w:val="28"/>
          <w:szCs w:val="28"/>
        </w:rPr>
        <w:t>国际贸易形势</w:t>
      </w:r>
      <w:r>
        <w:rPr>
          <w:rFonts w:ascii="仿宋" w:eastAsia="仿宋" w:hAnsi="仿宋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F67F5FD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知识目标</w:t>
      </w:r>
    </w:p>
    <w:p w14:paraId="2332E6DA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了解国际贸易产生与发展的历程；</w:t>
      </w:r>
    </w:p>
    <w:p w14:paraId="6D233070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掌握当代国际分工类型与国际分工理论；</w:t>
      </w:r>
    </w:p>
    <w:p w14:paraId="088A6AC1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掌握世界市场价格与国际竞争力的评价方法；</w:t>
      </w:r>
    </w:p>
    <w:p w14:paraId="20A38096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掌握国际贸易政策与措施的演变与内容；</w:t>
      </w:r>
    </w:p>
    <w:p w14:paraId="0D28D2DA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掌握关税与非关税壁垒的类别；</w:t>
      </w:r>
    </w:p>
    <w:p w14:paraId="1D77457B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了解国际服务贸易与技术贸易的发展概况；</w:t>
      </w:r>
    </w:p>
    <w:p w14:paraId="2FDE8285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掌握国际资本流动与跨国公司的相关理论；</w:t>
      </w:r>
    </w:p>
    <w:p w14:paraId="25DCD108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掌握区域经济一体化理论与一体化组织；</w:t>
      </w:r>
    </w:p>
    <w:p w14:paraId="086C534B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了解国际贸易与经济增长的关系以及发展战略的选择；</w:t>
      </w:r>
    </w:p>
    <w:p w14:paraId="10AF4D53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了解世界贸易组织及其运行机制。</w:t>
      </w:r>
    </w:p>
    <w:p w14:paraId="2D30A8F9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素质目标</w:t>
      </w:r>
    </w:p>
    <w:p w14:paraId="691F3B03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培养学生的团队协作能力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社会责任意识以及诚实经营的品德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46D50C4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培养学生良好的人际交流与沟通能力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645AAE7B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培养学生分析问题解决问题的能力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及在实践中不断创新的能力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3EC1F3B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培养学生吃苦耐劳的敬业精神和职业素养。</w:t>
      </w:r>
    </w:p>
    <w:p w14:paraId="62435D63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考试范围与要求</w:t>
      </w:r>
    </w:p>
    <w:p w14:paraId="4025E629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考试范围主要围绕</w:t>
      </w:r>
      <w:r>
        <w:rPr>
          <w:rFonts w:ascii="仿宋" w:eastAsia="仿宋" w:hAnsi="仿宋" w:hint="eastAsia"/>
          <w:sz w:val="28"/>
          <w:szCs w:val="28"/>
        </w:rPr>
        <w:t>国际贸易产生与发展的基础、国际贸易的相关理论、国际贸易政策的演变、关税与非关税壁垒、地区与国际贸易的管理体制、国际服务与技术贸易、国际要素流动、区域经济一体化、世界贸易组织等主要内容展开。具体考查内容如下：</w:t>
      </w:r>
    </w:p>
    <w:p w14:paraId="50A99973" w14:textId="77777777" w:rsidR="00C134E9" w:rsidRDefault="00F16DF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第一章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导论</w:t>
      </w:r>
    </w:p>
    <w:p w14:paraId="09C4F730" w14:textId="77777777" w:rsidR="00C134E9" w:rsidRDefault="00F16DF3">
      <w:pPr>
        <w:pStyle w:val="a5"/>
        <w:widowControl/>
        <w:spacing w:beforeAutospacing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国际贸易学的含义及研究内容（一般）</w:t>
      </w:r>
    </w:p>
    <w:p w14:paraId="57E84BB2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国际贸易的产生与发展（一般）</w:t>
      </w:r>
    </w:p>
    <w:p w14:paraId="66992013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国际贸易的基本概念与分类（重点）</w:t>
      </w:r>
    </w:p>
    <w:p w14:paraId="28AF1EC8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重点掌握国际贸易的基本概念</w:t>
      </w:r>
    </w:p>
    <w:p w14:paraId="7376DABE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当代国际贸易发展的特点（一般）</w:t>
      </w:r>
    </w:p>
    <w:p w14:paraId="64B6DB5A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国际分工与世界市场</w:t>
      </w:r>
    </w:p>
    <w:p w14:paraId="01BFB4DB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国际分工的含义、类型及发展历程（</w:t>
      </w:r>
      <w:r>
        <w:rPr>
          <w:rFonts w:ascii="仿宋" w:eastAsia="仿宋" w:hAnsi="仿宋" w:hint="eastAsia"/>
          <w:sz w:val="28"/>
          <w:szCs w:val="28"/>
        </w:rPr>
        <w:t>重点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6E7DC3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重点掌握国际分工的类型</w:t>
      </w:r>
    </w:p>
    <w:p w14:paraId="0F6D7251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影响国际分工发展的因素（一般）</w:t>
      </w:r>
    </w:p>
    <w:p w14:paraId="699A5AF5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国际分工对国际贸易的影响（一般）</w:t>
      </w:r>
    </w:p>
    <w:p w14:paraId="703CA6CF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世界市场的构成与发展（重点）</w:t>
      </w:r>
    </w:p>
    <w:p w14:paraId="3385B4F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重点掌握世界市场的交易方式、国际竞争力的指标</w:t>
      </w:r>
    </w:p>
    <w:p w14:paraId="43D42C0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世界市场价格的基础（一般）</w:t>
      </w:r>
    </w:p>
    <w:p w14:paraId="694EB768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国际贸易理论</w:t>
      </w:r>
    </w:p>
    <w:p w14:paraId="639496C1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比较优势说（重点）</w:t>
      </w:r>
    </w:p>
    <w:p w14:paraId="1748A10E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重点掌握绝对优势说和比较优势说的基本内容、数学分析、评价</w:t>
      </w:r>
    </w:p>
    <w:p w14:paraId="6FD38AF5" w14:textId="77777777" w:rsidR="00C134E9" w:rsidRDefault="00F16DF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生产要素禀赋学说（重点）</w:t>
      </w:r>
    </w:p>
    <w:p w14:paraId="3777C524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重点掌握生产要素禀赋学说的基本内容、评价</w:t>
      </w:r>
    </w:p>
    <w:p w14:paraId="312A16AD" w14:textId="77777777" w:rsidR="00C134E9" w:rsidRDefault="00F16DF3">
      <w:pPr>
        <w:pStyle w:val="a9"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里昂惕夫之谜及其解释（重点）</w:t>
      </w:r>
    </w:p>
    <w:p w14:paraId="5FD7261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重点掌握里昂惕夫之谜的内容、解释</w:t>
      </w:r>
    </w:p>
    <w:p w14:paraId="55640015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产业内贸易理论（重点）</w:t>
      </w:r>
    </w:p>
    <w:p w14:paraId="5C28C7EF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重点掌握产业内贸易理论的基本内容、利益，产业内贸易水平的衡量</w:t>
      </w:r>
    </w:p>
    <w:p w14:paraId="01EF7349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国家竞争优势理论（重点）</w:t>
      </w:r>
    </w:p>
    <w:p w14:paraId="413FA934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重点掌握国家竞争优势理论的基本内容</w:t>
      </w:r>
    </w:p>
    <w:p w14:paraId="719214DF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新新贸易理论（一般）</w:t>
      </w:r>
    </w:p>
    <w:p w14:paraId="734E24CE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国际贸易政策</w:t>
      </w:r>
    </w:p>
    <w:p w14:paraId="369589F4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对外贸易政策概述（一般）</w:t>
      </w:r>
    </w:p>
    <w:p w14:paraId="40B48D9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重商主义（</w:t>
      </w:r>
      <w:r>
        <w:rPr>
          <w:rFonts w:ascii="仿宋" w:eastAsia="仿宋" w:hAnsi="仿宋" w:hint="eastAsia"/>
          <w:sz w:val="28"/>
          <w:szCs w:val="28"/>
        </w:rPr>
        <w:t>重点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C79A48C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重点掌握重商主义政策</w:t>
      </w:r>
    </w:p>
    <w:p w14:paraId="76B794EC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自由贸易政策（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163289D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保护贸易政策（重点）</w:t>
      </w:r>
    </w:p>
    <w:p w14:paraId="227A1AED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重点掌握李斯特幼稚产业保护理论的主要观点</w:t>
      </w:r>
    </w:p>
    <w:p w14:paraId="395C554B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战略性贸易政策（</w:t>
      </w:r>
      <w:r>
        <w:rPr>
          <w:rFonts w:ascii="仿宋" w:eastAsia="仿宋" w:hAnsi="仿宋" w:hint="eastAsia"/>
          <w:sz w:val="28"/>
          <w:szCs w:val="28"/>
        </w:rPr>
        <w:t>重点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653EAE1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重点掌握战略性贸易政策的含义</w:t>
      </w:r>
    </w:p>
    <w:p w14:paraId="6573A00F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</w:t>
      </w:r>
    </w:p>
    <w:p w14:paraId="1647A9C4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关税概述（重点）</w:t>
      </w:r>
    </w:p>
    <w:p w14:paraId="47EB9D3F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重点掌握关税的含义、特点、种类</w:t>
      </w:r>
    </w:p>
    <w:p w14:paraId="26E8F17E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</w:t>
      </w:r>
      <w:r>
        <w:rPr>
          <w:rFonts w:ascii="仿宋" w:eastAsia="仿宋" w:hAnsi="仿宋" w:hint="eastAsia"/>
          <w:sz w:val="28"/>
          <w:szCs w:val="28"/>
        </w:rPr>
        <w:t>税的经济效应（</w:t>
      </w:r>
      <w:r>
        <w:rPr>
          <w:rFonts w:ascii="仿宋" w:eastAsia="仿宋" w:hAnsi="仿宋" w:hint="eastAsia"/>
          <w:sz w:val="28"/>
          <w:szCs w:val="28"/>
        </w:rPr>
        <w:t>重点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409D281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重点掌握关税对贸易小国的经济影响</w:t>
      </w:r>
    </w:p>
    <w:p w14:paraId="62F182CA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关税的结构和有效保护率（重点）</w:t>
      </w:r>
    </w:p>
    <w:p w14:paraId="3D029B94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重点掌握有效保护率的计算</w:t>
      </w:r>
    </w:p>
    <w:p w14:paraId="74C3AD08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</w:t>
      </w:r>
    </w:p>
    <w:p w14:paraId="1B364C08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非关税壁垒概述（一般）</w:t>
      </w:r>
    </w:p>
    <w:p w14:paraId="431FDC88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非关税壁垒的主要形式（重点）</w:t>
      </w:r>
    </w:p>
    <w:p w14:paraId="7CC88624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重点掌握进口配额制</w:t>
      </w:r>
    </w:p>
    <w:p w14:paraId="43DD14D0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非关税壁垒的发展趋势（一般）</w:t>
      </w:r>
    </w:p>
    <w:p w14:paraId="7230102C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非关税壁垒的经济效应（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1EF43B9D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鼓励出口和出口管制措施</w:t>
      </w:r>
    </w:p>
    <w:p w14:paraId="1E13853D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鼓励出口的措施（重点）</w:t>
      </w:r>
    </w:p>
    <w:p w14:paraId="7C4AA13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重点掌握鼓励出口的主要措施</w:t>
      </w:r>
    </w:p>
    <w:p w14:paraId="504AED0E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促进经济发展的经济特区（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2ACA889C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出口管制措施（一般）</w:t>
      </w:r>
    </w:p>
    <w:p w14:paraId="16103FDB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第八章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</w:t>
      </w:r>
    </w:p>
    <w:p w14:paraId="0F6728B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国际服务贸易概述（重点）</w:t>
      </w:r>
    </w:p>
    <w:p w14:paraId="799E68C4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重点掌握国际服务贸易的特点</w:t>
      </w:r>
    </w:p>
    <w:p w14:paraId="53327DC3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当代国际服务贸易的状况与发展趋势（一般）</w:t>
      </w:r>
    </w:p>
    <w:p w14:paraId="59FAB383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国际服务贸易壁垒与《服务贸易总协定》（一般）</w:t>
      </w:r>
    </w:p>
    <w:p w14:paraId="64DEDFD4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</w:t>
      </w:r>
    </w:p>
    <w:p w14:paraId="57E9A4DA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国际技术贸易概述（一般）</w:t>
      </w:r>
    </w:p>
    <w:p w14:paraId="298526FE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国际技术贸易的方式（重点）</w:t>
      </w:r>
    </w:p>
    <w:p w14:paraId="1903A407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重点掌握许可贸易、特许专营这两种国际技术贸易方式</w:t>
      </w:r>
    </w:p>
    <w:p w14:paraId="3C90A75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国际技术贸易的发展及特点（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2D25F3CA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国际技术贸易的法律问题（一般）</w:t>
      </w:r>
    </w:p>
    <w:p w14:paraId="124BC723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与贸易有关的知识产权保护</w:t>
      </w:r>
    </w:p>
    <w:p w14:paraId="3C4439FD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知识产权概述（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7F189AA1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知识产权的国内保护制度（</w:t>
      </w:r>
      <w:r>
        <w:rPr>
          <w:rFonts w:ascii="仿宋" w:eastAsia="仿宋" w:hAnsi="仿宋" w:hint="eastAsia"/>
          <w:sz w:val="28"/>
          <w:szCs w:val="28"/>
        </w:rPr>
        <w:t>不考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2FCA1A4A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知识产权的国际保护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不考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1C25020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第十一章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国际资本流动与跨国公司</w:t>
      </w:r>
    </w:p>
    <w:p w14:paraId="08F07962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国际资本流动概述（重点）</w:t>
      </w:r>
    </w:p>
    <w:p w14:paraId="648B63F6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重点掌握国际资本流动的概念、类型</w:t>
      </w:r>
    </w:p>
    <w:p w14:paraId="68DCE1F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跨国公司概述（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3494967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跨国公司的内部贸易与转移价格（重点）</w:t>
      </w:r>
    </w:p>
    <w:p w14:paraId="6299A4EB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重点掌握内部价格、转移价格的含义</w:t>
      </w:r>
    </w:p>
    <w:p w14:paraId="5415200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跨国公司理论（</w:t>
      </w:r>
      <w:r>
        <w:rPr>
          <w:rFonts w:ascii="仿宋" w:eastAsia="仿宋" w:hAnsi="仿宋" w:hint="eastAsia"/>
          <w:sz w:val="28"/>
          <w:szCs w:val="28"/>
        </w:rPr>
        <w:t>一般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61811ED9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第十二章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</w:t>
      </w:r>
    </w:p>
    <w:p w14:paraId="60158F26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区域经济一体化概述（重点）</w:t>
      </w:r>
    </w:p>
    <w:p w14:paraId="3B39DF28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重点掌握区域经济一体化的内涵、主要形式</w:t>
      </w:r>
    </w:p>
    <w:p w14:paraId="4F4FF38D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主要的区域经济一体化组织（一般）</w:t>
      </w:r>
    </w:p>
    <w:p w14:paraId="09283699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第三节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区域经济一体化理论（重点）</w:t>
      </w:r>
    </w:p>
    <w:p w14:paraId="210AECA9" w14:textId="77777777" w:rsidR="00C134E9" w:rsidRDefault="00F16DF3">
      <w:pPr>
        <w:spacing w:line="360" w:lineRule="auto"/>
        <w:ind w:leftChars="730" w:left="1533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重点掌握关税同盟理论的静态效应、动态效应</w:t>
      </w:r>
    </w:p>
    <w:p w14:paraId="54EA6FD1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国际贸易与经济增长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不考）</w:t>
      </w:r>
    </w:p>
    <w:p w14:paraId="424FE89F" w14:textId="77777777" w:rsidR="00C134E9" w:rsidRDefault="00F16DF3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第十四章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世界贸易组织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不考）</w:t>
      </w:r>
    </w:p>
    <w:p w14:paraId="11859497" w14:textId="77777777" w:rsidR="00C134E9" w:rsidRDefault="00F16DF3">
      <w:pPr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试卷</w:t>
      </w:r>
      <w:r>
        <w:rPr>
          <w:rFonts w:ascii="仿宋" w:eastAsia="仿宋" w:hAnsi="仿宋" w:cs="Times New Roman"/>
          <w:b/>
          <w:sz w:val="28"/>
          <w:szCs w:val="28"/>
        </w:rPr>
        <w:t>结构</w:t>
      </w:r>
    </w:p>
    <w:p w14:paraId="0C2F52A5" w14:textId="77777777" w:rsidR="00C134E9" w:rsidRDefault="00F16DF3">
      <w:pPr>
        <w:spacing w:line="360" w:lineRule="auto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（试卷总分为</w:t>
      </w:r>
      <w:r>
        <w:rPr>
          <w:rFonts w:ascii="仿宋" w:eastAsia="仿宋" w:hAnsi="仿宋" w:cs="仿宋" w:hint="eastAsia"/>
          <w:sz w:val="28"/>
          <w:szCs w:val="28"/>
        </w:rPr>
        <w:t>150</w:t>
      </w:r>
      <w:r>
        <w:rPr>
          <w:rFonts w:ascii="仿宋" w:eastAsia="仿宋" w:hAnsi="仿宋" w:cs="仿宋" w:hint="eastAsia"/>
          <w:sz w:val="28"/>
          <w:szCs w:val="28"/>
        </w:rPr>
        <w:t>分）</w:t>
      </w:r>
    </w:p>
    <w:tbl>
      <w:tblPr>
        <w:tblStyle w:val="a6"/>
        <w:tblW w:w="4998" w:type="pct"/>
        <w:jc w:val="center"/>
        <w:tblLook w:val="04A0" w:firstRow="1" w:lastRow="0" w:firstColumn="1" w:lastColumn="0" w:noHBand="0" w:noVBand="1"/>
      </w:tblPr>
      <w:tblGrid>
        <w:gridCol w:w="1957"/>
        <w:gridCol w:w="3280"/>
        <w:gridCol w:w="3282"/>
      </w:tblGrid>
      <w:tr w:rsidR="00C134E9" w14:paraId="2D2D796E" w14:textId="77777777">
        <w:trPr>
          <w:jc w:val="center"/>
        </w:trPr>
        <w:tc>
          <w:tcPr>
            <w:tcW w:w="1148" w:type="pct"/>
            <w:vAlign w:val="center"/>
          </w:tcPr>
          <w:p w14:paraId="7DD965B1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25" w:type="pct"/>
            <w:vAlign w:val="center"/>
          </w:tcPr>
          <w:p w14:paraId="167941A1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题型</w:t>
            </w:r>
          </w:p>
        </w:tc>
        <w:tc>
          <w:tcPr>
            <w:tcW w:w="1926" w:type="pct"/>
            <w:vAlign w:val="center"/>
          </w:tcPr>
          <w:p w14:paraId="3114D704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题量</w:t>
            </w:r>
          </w:p>
        </w:tc>
      </w:tr>
      <w:tr w:rsidR="00C134E9" w14:paraId="0CA30FAB" w14:textId="77777777">
        <w:trPr>
          <w:jc w:val="center"/>
        </w:trPr>
        <w:tc>
          <w:tcPr>
            <w:tcW w:w="1148" w:type="pct"/>
            <w:vAlign w:val="center"/>
          </w:tcPr>
          <w:p w14:paraId="752F7F20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925" w:type="pct"/>
            <w:vAlign w:val="center"/>
          </w:tcPr>
          <w:p w14:paraId="06FC4715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单项选择题</w:t>
            </w:r>
          </w:p>
        </w:tc>
        <w:tc>
          <w:tcPr>
            <w:tcW w:w="1926" w:type="pct"/>
            <w:vAlign w:val="center"/>
          </w:tcPr>
          <w:p w14:paraId="7001430E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C134E9" w14:paraId="51D6B47D" w14:textId="77777777">
        <w:trPr>
          <w:jc w:val="center"/>
        </w:trPr>
        <w:tc>
          <w:tcPr>
            <w:tcW w:w="1148" w:type="pct"/>
            <w:vAlign w:val="center"/>
          </w:tcPr>
          <w:p w14:paraId="4A547841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925" w:type="pct"/>
            <w:vAlign w:val="center"/>
          </w:tcPr>
          <w:p w14:paraId="33684403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判断题</w:t>
            </w:r>
          </w:p>
        </w:tc>
        <w:tc>
          <w:tcPr>
            <w:tcW w:w="1926" w:type="pct"/>
            <w:vAlign w:val="center"/>
          </w:tcPr>
          <w:p w14:paraId="1D596A1A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</w:tr>
      <w:tr w:rsidR="00C134E9" w14:paraId="654FE077" w14:textId="77777777">
        <w:trPr>
          <w:jc w:val="center"/>
        </w:trPr>
        <w:tc>
          <w:tcPr>
            <w:tcW w:w="1148" w:type="pct"/>
            <w:vAlign w:val="center"/>
          </w:tcPr>
          <w:p w14:paraId="0181B2F0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925" w:type="pct"/>
            <w:vAlign w:val="center"/>
          </w:tcPr>
          <w:p w14:paraId="76329E1B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简答题</w:t>
            </w:r>
          </w:p>
        </w:tc>
        <w:tc>
          <w:tcPr>
            <w:tcW w:w="1926" w:type="pct"/>
            <w:vAlign w:val="center"/>
          </w:tcPr>
          <w:p w14:paraId="6E880A5E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</w:tr>
      <w:tr w:rsidR="00C134E9" w14:paraId="1D265C47" w14:textId="77777777">
        <w:trPr>
          <w:jc w:val="center"/>
        </w:trPr>
        <w:tc>
          <w:tcPr>
            <w:tcW w:w="1148" w:type="pct"/>
            <w:vAlign w:val="center"/>
          </w:tcPr>
          <w:p w14:paraId="5D366332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925" w:type="pct"/>
            <w:vAlign w:val="center"/>
          </w:tcPr>
          <w:p w14:paraId="6F06E724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计算分析题</w:t>
            </w:r>
          </w:p>
        </w:tc>
        <w:tc>
          <w:tcPr>
            <w:tcW w:w="1926" w:type="pct"/>
            <w:vAlign w:val="center"/>
          </w:tcPr>
          <w:p w14:paraId="45B3B11C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</w:tr>
      <w:tr w:rsidR="00C134E9" w14:paraId="41273DCB" w14:textId="77777777">
        <w:trPr>
          <w:jc w:val="center"/>
        </w:trPr>
        <w:tc>
          <w:tcPr>
            <w:tcW w:w="1148" w:type="pct"/>
            <w:vAlign w:val="center"/>
          </w:tcPr>
          <w:p w14:paraId="6D08AD46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925" w:type="pct"/>
            <w:vAlign w:val="center"/>
          </w:tcPr>
          <w:p w14:paraId="5D23CF77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材料分析题</w:t>
            </w:r>
          </w:p>
        </w:tc>
        <w:tc>
          <w:tcPr>
            <w:tcW w:w="1926" w:type="pct"/>
            <w:vAlign w:val="center"/>
          </w:tcPr>
          <w:p w14:paraId="63DBE2E4" w14:textId="77777777" w:rsidR="00C134E9" w:rsidRDefault="00F16DF3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</w:tbl>
    <w:p w14:paraId="0C2CBFC9" w14:textId="77777777" w:rsidR="00C134E9" w:rsidRDefault="00C134E9">
      <w:pPr>
        <w:spacing w:line="480" w:lineRule="auto"/>
        <w:jc w:val="left"/>
      </w:pPr>
    </w:p>
    <w:sectPr w:rsidR="00C13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12D6"/>
    <w:multiLevelType w:val="singleLevel"/>
    <w:tmpl w:val="0E4612D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EyOTlkZTBmZWY5ODhiMmQ4YThjODEzZGY3MGEzYzEifQ=="/>
  </w:docVars>
  <w:rsids>
    <w:rsidRoot w:val="070E5891"/>
    <w:rsid w:val="000243AD"/>
    <w:rsid w:val="000362AF"/>
    <w:rsid w:val="00067FEF"/>
    <w:rsid w:val="00086D17"/>
    <w:rsid w:val="000923D3"/>
    <w:rsid w:val="000A4EEF"/>
    <w:rsid w:val="000B728C"/>
    <w:rsid w:val="000C4E01"/>
    <w:rsid w:val="000D3D95"/>
    <w:rsid w:val="001142B9"/>
    <w:rsid w:val="00133363"/>
    <w:rsid w:val="00143BEE"/>
    <w:rsid w:val="00145AC8"/>
    <w:rsid w:val="001806CF"/>
    <w:rsid w:val="001F1620"/>
    <w:rsid w:val="001F72B0"/>
    <w:rsid w:val="00240765"/>
    <w:rsid w:val="00255B68"/>
    <w:rsid w:val="0026590F"/>
    <w:rsid w:val="00277A5F"/>
    <w:rsid w:val="002839B6"/>
    <w:rsid w:val="0029151D"/>
    <w:rsid w:val="002B6F62"/>
    <w:rsid w:val="003C577A"/>
    <w:rsid w:val="003F7DE5"/>
    <w:rsid w:val="00411355"/>
    <w:rsid w:val="00455B26"/>
    <w:rsid w:val="00475D9A"/>
    <w:rsid w:val="00490162"/>
    <w:rsid w:val="004A35B2"/>
    <w:rsid w:val="004B2223"/>
    <w:rsid w:val="004D1BAD"/>
    <w:rsid w:val="00531AB5"/>
    <w:rsid w:val="00535490"/>
    <w:rsid w:val="00553396"/>
    <w:rsid w:val="005542AF"/>
    <w:rsid w:val="00563B3C"/>
    <w:rsid w:val="006238E8"/>
    <w:rsid w:val="0063021A"/>
    <w:rsid w:val="00635013"/>
    <w:rsid w:val="00663FB2"/>
    <w:rsid w:val="006920B9"/>
    <w:rsid w:val="006B40E5"/>
    <w:rsid w:val="006D0B6A"/>
    <w:rsid w:val="006F61B9"/>
    <w:rsid w:val="006F65CA"/>
    <w:rsid w:val="00701576"/>
    <w:rsid w:val="00744301"/>
    <w:rsid w:val="00751207"/>
    <w:rsid w:val="00780EF1"/>
    <w:rsid w:val="007B1707"/>
    <w:rsid w:val="007D4A44"/>
    <w:rsid w:val="007E7C93"/>
    <w:rsid w:val="00801A7E"/>
    <w:rsid w:val="0088536C"/>
    <w:rsid w:val="008A6101"/>
    <w:rsid w:val="008B28AB"/>
    <w:rsid w:val="00902B90"/>
    <w:rsid w:val="00980E21"/>
    <w:rsid w:val="009A1E4D"/>
    <w:rsid w:val="009B1299"/>
    <w:rsid w:val="009D39E7"/>
    <w:rsid w:val="009D53DE"/>
    <w:rsid w:val="009E2DAC"/>
    <w:rsid w:val="009F0626"/>
    <w:rsid w:val="00A053BC"/>
    <w:rsid w:val="00A22154"/>
    <w:rsid w:val="00A25E7F"/>
    <w:rsid w:val="00AC30DE"/>
    <w:rsid w:val="00B111CE"/>
    <w:rsid w:val="00B464CB"/>
    <w:rsid w:val="00B767D4"/>
    <w:rsid w:val="00B80424"/>
    <w:rsid w:val="00B93DD4"/>
    <w:rsid w:val="00BA06E3"/>
    <w:rsid w:val="00BA4586"/>
    <w:rsid w:val="00BA5296"/>
    <w:rsid w:val="00BE4ABE"/>
    <w:rsid w:val="00C134E9"/>
    <w:rsid w:val="00C77660"/>
    <w:rsid w:val="00C94A81"/>
    <w:rsid w:val="00D51EBE"/>
    <w:rsid w:val="00D86354"/>
    <w:rsid w:val="00DC6258"/>
    <w:rsid w:val="00DD4541"/>
    <w:rsid w:val="00DF15EB"/>
    <w:rsid w:val="00E02F13"/>
    <w:rsid w:val="00E514FA"/>
    <w:rsid w:val="00E674C7"/>
    <w:rsid w:val="00EB4E29"/>
    <w:rsid w:val="00ED4789"/>
    <w:rsid w:val="00EF398B"/>
    <w:rsid w:val="00F07101"/>
    <w:rsid w:val="00F16DF3"/>
    <w:rsid w:val="00F36839"/>
    <w:rsid w:val="00F8442F"/>
    <w:rsid w:val="00FB2A51"/>
    <w:rsid w:val="00FD391E"/>
    <w:rsid w:val="00FE1EB0"/>
    <w:rsid w:val="00FE2ED8"/>
    <w:rsid w:val="070E5891"/>
    <w:rsid w:val="08D85765"/>
    <w:rsid w:val="0D1417A3"/>
    <w:rsid w:val="140B4D0A"/>
    <w:rsid w:val="163F78A5"/>
    <w:rsid w:val="26D8780D"/>
    <w:rsid w:val="2C925D96"/>
    <w:rsid w:val="369C26B3"/>
    <w:rsid w:val="36AF4739"/>
    <w:rsid w:val="3B72234F"/>
    <w:rsid w:val="3B972E33"/>
    <w:rsid w:val="3BD139DA"/>
    <w:rsid w:val="3F5B32B9"/>
    <w:rsid w:val="6651235B"/>
    <w:rsid w:val="6FB10A34"/>
    <w:rsid w:val="70A63B5A"/>
    <w:rsid w:val="7E6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333333"/>
      <w:sz w:val="18"/>
      <w:szCs w:val="18"/>
      <w:u w:val="none"/>
    </w:rPr>
  </w:style>
  <w:style w:type="character" w:styleId="a8">
    <w:name w:val="Hyperlink"/>
    <w:basedOn w:val="a0"/>
    <w:qFormat/>
    <w:rPr>
      <w:color w:val="333333"/>
      <w:sz w:val="18"/>
      <w:szCs w:val="18"/>
      <w:u w:val="none"/>
    </w:rPr>
  </w:style>
  <w:style w:type="character" w:customStyle="1" w:styleId="biaoti31">
    <w:name w:val="biaoti31"/>
    <w:basedOn w:val="a0"/>
    <w:qFormat/>
    <w:rPr>
      <w:b/>
      <w:color w:val="003D6C"/>
      <w:sz w:val="30"/>
      <w:szCs w:val="30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1472B-AB87-486E-A639-D01AD91C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26</cp:revision>
  <cp:lastPrinted>2025-11-10T06:54:00Z</cp:lastPrinted>
  <dcterms:created xsi:type="dcterms:W3CDTF">2018-03-16T04:56:00Z</dcterms:created>
  <dcterms:modified xsi:type="dcterms:W3CDTF">2025-12-01T06:27:00Z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0B86153E300E4B6CB69F53BB007F0F8A</vt:lpwstr>
  </property>
  <property fmtid="{D5CDD505-2E9C-101B-9397-08002B2CF9AE}" pid="4" name="KSOTemplateDocerSaveRecord">
    <vt:lpwstr>eyJoZGlkIjoiZTNiZjI1MmFhYjA2MDdiYjliMmI3MTk4ZTg1OWU3ZWEiLCJ1c2VySWQiOiI4NzU1NTMzNDQifQ==</vt:lpwstr>
  </property>
</Properties>
</file>